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420" w:lineRule="auto"/>
        <w:ind w:left="0" w:right="0" w:firstLine="0"/>
        <w:jc w:val="left"/>
        <w:outlineLvl w:val="9"/>
        <w:rPr>
          <w:rFonts w:ascii="DFKai-SB" w:cs="DFKai-SB" w:hAnsi="DFKai-SB" w:eastAsia="DFKai-SB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DFKai-SB" w:cs="DFKai-SB" w:hAnsi="DFKai-SB" w:eastAsia="DFKai-SB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4"/>
          <w:szCs w:val="24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附件一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0"/>
        <w:jc w:val="center"/>
        <w:outlineLvl w:val="9"/>
        <w:rPr>
          <w:rFonts w:ascii="DFKai-SB" w:cs="DFKai-SB" w:hAnsi="DFKai-SB" w:eastAsia="DFKai-SB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DFKai-SB" w:cs="DFKai-SB" w:hAnsi="DFKai-SB" w:eastAsia="DFKai-SB" w:hint="eastAsia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臺北市溪山實小</w:t>
      </w:r>
      <w:r>
        <w:rPr>
          <w:rFonts w:ascii="DFKai-SB" w:cs="DFKai-SB" w:hAnsi="DFKai-SB" w:eastAsia="DFKai-SB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112</w:t>
      </w:r>
      <w:r>
        <w:rPr>
          <w:rFonts w:ascii="DFKai-SB" w:cs="DFKai-SB" w:hAnsi="DFKai-SB" w:eastAsia="DFKai-SB" w:hint="eastAsia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學年度第一學期</w:t>
      </w:r>
      <w:r>
        <w:rPr>
          <w:rFonts w:ascii="DFKai-SB" w:cs="DFKai-SB" w:hAnsi="DFKai-SB" w:eastAsia="DFKai-SB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(</w:t>
      </w:r>
      <w:r>
        <w:rPr>
          <w:rFonts w:ascii="DFKai-SB" w:cs="DFKai-SB" w:hAnsi="DFKai-SB" w:eastAsia="DFKai-SB" w:hint="eastAsia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秋冬學季</w:t>
      </w:r>
      <w:r>
        <w:rPr>
          <w:rFonts w:ascii="DFKai-SB" w:cs="DFKai-SB" w:hAnsi="DFKai-SB" w:eastAsia="DFKai-SB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)</w:t>
      </w:r>
      <w:r>
        <w:rPr>
          <w:rFonts w:ascii="DFKai-SB" w:cs="DFKai-SB" w:hAnsi="DFKai-SB" w:eastAsia="DFKai-SB" w:hint="eastAsia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教學說明暨班級經營</w:t>
      </w:r>
    </w:p>
    <w:tbl>
      <w:tblPr>
        <w:tblW w:w="969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1615"/>
        <w:gridCol w:w="1615"/>
        <w:gridCol w:w="1616"/>
        <w:gridCol w:w="1616"/>
        <w:gridCol w:w="1616"/>
        <w:gridCol w:w="1616"/>
      </w:tblGrid>
      <w:tr>
        <w:tblPrEx>
          <w:shd w:val="clear" w:color="auto" w:fill="d0ddef"/>
        </w:tblPrEx>
        <w:trPr>
          <w:trHeight w:val="662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任教科目</w:t>
            </w:r>
          </w:p>
        </w:tc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DFKai-SB" w:cs="DFKai-SB" w:hAnsi="DFKai-SB" w:eastAsia="DFKai-SB"/>
                <w:sz w:val="22"/>
                <w:szCs w:val="22"/>
                <w:u w:color="000000"/>
                <w:rtl w:val="0"/>
              </w:rPr>
              <w:t>科技</w:t>
            </w:r>
          </w:p>
        </w:tc>
        <w:tc>
          <w:tcPr>
            <w:tcW w:type="dxa" w:w="16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任教班級</w:t>
            </w:r>
          </w:p>
        </w:tc>
        <w:tc>
          <w:tcPr>
            <w:tcW w:type="dxa" w:w="16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五年級</w:t>
            </w:r>
          </w:p>
        </w:tc>
        <w:tc>
          <w:tcPr>
            <w:tcW w:type="dxa" w:w="16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教師姓名</w:t>
            </w:r>
          </w:p>
        </w:tc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林婷婷</w:t>
            </w:r>
          </w:p>
        </w:tc>
      </w:tr>
      <w:tr>
        <w:tblPrEx>
          <w:shd w:val="clear" w:color="auto" w:fill="d0ddef"/>
        </w:tblPrEx>
        <w:trPr>
          <w:trHeight w:val="1976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教學目標</w:t>
            </w:r>
          </w:p>
        </w:tc>
        <w:tc>
          <w:tcPr>
            <w:tcW w:type="dxa" w:w="8079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Fonts w:ascii="DFKai-SB" w:cs="DFKai-SB" w:hAnsi="DFKai-SB" w:eastAsia="DFKai-SB"/>
                <w:u w:color="000000"/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1.</w:t>
            </w:r>
            <w:r>
              <w:rPr>
                <w:rFonts w:ascii="DFKai-SB" w:cs="DFKai-SB" w:hAnsi="DFKai-SB" w:eastAsia="DFKai-SB"/>
                <w:u w:color="000000"/>
                <w:rtl w:val="0"/>
                <w:lang w:val="zh-TW" w:eastAsia="zh-TW"/>
              </w:rPr>
              <w:t>由淺入深探索</w:t>
            </w:r>
            <w:r>
              <w:rPr>
                <w:rFonts w:ascii="DFKai-SB" w:cs="DFKai-SB" w:hAnsi="DFKai-SB" w:eastAsia="DFKai-SB"/>
                <w:u w:color="000000"/>
                <w:rtl w:val="0"/>
                <w:lang w:val="en-US"/>
              </w:rPr>
              <w:t>Scratch</w:t>
            </w:r>
            <w:r>
              <w:rPr>
                <w:rFonts w:ascii="DFKai-SB" w:cs="DFKai-SB" w:hAnsi="DFKai-SB" w:eastAsia="DFKai-SB"/>
                <w:u w:color="000000"/>
                <w:rtl w:val="0"/>
                <w:lang w:val="zh-TW" w:eastAsia="zh-TW"/>
              </w:rPr>
              <w:t>，建立程式架構能力，並能編寫動畫及遊戲。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Fonts w:ascii="DFKai-SB" w:cs="DFKai-SB" w:hAnsi="DFKai-SB" w:eastAsia="DFKai-SB"/>
                <w:u w:color="000000"/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2.</w:t>
            </w:r>
            <w:r>
              <w:rPr>
                <w:rFonts w:ascii="DFKai-SB" w:cs="DFKai-SB" w:hAnsi="DFKai-SB" w:eastAsia="DFKai-SB"/>
                <w:u w:color="000000"/>
                <w:rtl w:val="0"/>
                <w:lang w:val="en-US"/>
              </w:rPr>
              <w:t>Google Map</w:t>
            </w:r>
            <w:r>
              <w:rPr>
                <w:rFonts w:ascii="DFKai-SB" w:cs="DFKai-SB" w:hAnsi="DFKai-SB" w:eastAsia="DFKai-SB"/>
                <w:u w:color="000000"/>
                <w:rtl w:val="0"/>
                <w:lang w:val="zh-TW" w:eastAsia="zh-TW"/>
              </w:rPr>
              <w:t>製作專屬旅遊地圖。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Fonts w:ascii="DFKai-SB" w:cs="DFKai-SB" w:hAnsi="DFKai-SB" w:eastAsia="DFKai-SB"/>
                <w:u w:color="000000"/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3</w:t>
            </w:r>
            <w:r>
              <w:rPr>
                <w:rFonts w:ascii="DFKai-SB" w:cs="DFKai-SB" w:hAnsi="DFKai-SB" w:eastAsia="DFKai-SB"/>
                <w:u w:color="000000"/>
                <w:rtl w:val="0"/>
                <w:lang w:val="en-US"/>
              </w:rPr>
              <w:t>.</w:t>
            </w:r>
            <w:r>
              <w:rPr>
                <w:rFonts w:ascii="DFKai-SB" w:cs="DFKai-SB" w:hAnsi="DFKai-SB" w:eastAsia="DFKai-SB"/>
                <w:u w:color="000000"/>
                <w:rtl w:val="0"/>
                <w:lang w:val="zh-TW" w:eastAsia="zh-TW"/>
              </w:rPr>
              <w:t>網路資源運用及使用規範倫理。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Fonts w:ascii="Times Roman" w:cs="Times Roman" w:hAnsi="Times Roman" w:eastAsia="Times Roman"/>
                <w:u w:color="000000"/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4.</w:t>
            </w:r>
            <w:r>
              <w:rPr>
                <w:rFonts w:ascii="DFKai-SB" w:cs="DFKai-SB" w:hAnsi="DFKai-SB" w:eastAsia="DFKai-SB"/>
                <w:u w:color="000000"/>
                <w:rtl w:val="0"/>
                <w:lang w:val="zh-TW" w:eastAsia="zh-TW"/>
              </w:rPr>
              <w:t>利用所學能力，製作作品。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5.</w:t>
            </w:r>
            <w:r>
              <w:rPr>
                <w:rFonts w:ascii="DFKai-SB" w:cs="DFKai-SB" w:hAnsi="DFKai-SB" w:eastAsia="DFKai-SB"/>
                <w:u w:color="000000"/>
                <w:rtl w:val="0"/>
                <w:lang w:val="zh-TW" w:eastAsia="zh-TW"/>
              </w:rPr>
              <w:t>網路素養建立。</w:t>
            </w:r>
          </w:p>
        </w:tc>
      </w:tr>
      <w:tr>
        <w:tblPrEx>
          <w:shd w:val="clear" w:color="auto" w:fill="d0ddef"/>
        </w:tblPrEx>
        <w:trPr>
          <w:trHeight w:val="1936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評量方式</w:t>
            </w:r>
          </w:p>
        </w:tc>
        <w:tc>
          <w:tcPr>
            <w:tcW w:type="dxa" w:w="8079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1.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實作評量</w:t>
            </w:r>
          </w:p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2.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作品完成度</w:t>
            </w:r>
          </w:p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3.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上課態度、課堂互動（同學互助及師生互動）</w:t>
            </w:r>
          </w:p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</w:p>
        </w:tc>
      </w:tr>
      <w:tr>
        <w:tblPrEx>
          <w:shd w:val="clear" w:color="auto" w:fill="d0ddef"/>
        </w:tblPrEx>
        <w:trPr>
          <w:trHeight w:val="832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親師聯絡</w:t>
            </w:r>
          </w:p>
        </w:tc>
        <w:tc>
          <w:tcPr>
            <w:tcW w:type="dxa" w:w="8079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442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</w:tabs>
              <w:suppressAutoHyphens w:val="0"/>
              <w:bidi w:val="0"/>
              <w:spacing w:before="0" w:after="0" w:line="300" w:lineRule="auto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E-mail: </w:t>
            </w: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rabearit</w:t>
            </w: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@hops.tp.edu.tw</w:t>
            </w: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br w:type="textWrapping"/>
            </w:r>
            <w:r>
              <w:rPr>
                <w:rFonts w:ascii="jf open 粉圓 1.1" w:cs="jf open 粉圓 1.1" w:hAnsi="jf open 粉圓 1.1" w:eastAsia="jf open 粉圓 1.1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分機：</w:t>
            </w: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2841-1010#11</w:t>
            </w: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9</w:t>
            </w:r>
          </w:p>
        </w:tc>
      </w:tr>
      <w:tr>
        <w:tblPrEx>
          <w:shd w:val="clear" w:color="auto" w:fill="d0ddef"/>
        </w:tblPrEx>
        <w:trPr>
          <w:trHeight w:val="3086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DFKai-SB" w:cs="DFKai-SB" w:hAnsi="DFKai-SB" w:eastAsia="DFKai-SB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班級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經營理念</w:t>
            </w:r>
          </w:p>
        </w:tc>
        <w:tc>
          <w:tcPr>
            <w:tcW w:type="dxa" w:w="8079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預設值"/>
              <w:bidi w:val="0"/>
              <w:spacing w:before="0" w:line="240" w:lineRule="auto"/>
              <w:ind w:left="2" w:right="0" w:firstLine="0"/>
              <w:jc w:val="both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1.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科技運用於生活。</w:t>
            </w:r>
          </w:p>
          <w:p>
            <w:pPr>
              <w:pStyle w:val="預設值"/>
              <w:bidi w:val="0"/>
              <w:spacing w:before="0" w:line="240" w:lineRule="auto"/>
              <w:ind w:left="2" w:right="0" w:firstLine="0"/>
              <w:jc w:val="both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2.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沈浸能力的培養。</w:t>
            </w:r>
          </w:p>
          <w:p>
            <w:pPr>
              <w:pStyle w:val="預設值"/>
              <w:bidi w:val="0"/>
              <w:spacing w:before="0" w:line="240" w:lineRule="auto"/>
              <w:ind w:left="2" w:right="0" w:firstLine="0"/>
              <w:jc w:val="both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3.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科技與關懷結合。</w:t>
            </w:r>
          </w:p>
          <w:p>
            <w:pPr>
              <w:pStyle w:val="預設值"/>
              <w:bidi w:val="0"/>
              <w:spacing w:before="0" w:line="240" w:lineRule="auto"/>
              <w:ind w:left="2" w:right="0" w:firstLine="0"/>
              <w:jc w:val="both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4.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運用科技協助學習與創作。</w:t>
            </w:r>
          </w:p>
        </w:tc>
      </w:tr>
      <w:tr>
        <w:tblPrEx>
          <w:shd w:val="clear" w:color="auto" w:fill="d0ddef"/>
        </w:tblPrEx>
        <w:trPr>
          <w:trHeight w:val="3373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DFKai-SB" w:cs="DFKai-SB" w:hAnsi="DFKai-SB" w:eastAsia="DFKai-SB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家長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配合事項</w:t>
            </w:r>
          </w:p>
        </w:tc>
        <w:tc>
          <w:tcPr>
            <w:tcW w:type="dxa" w:w="8079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1.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鼓勵孩子的科技運用，可適度的提出問題方案，讓孩子運用已知的科技能力，試圖解決在日常生活中可能遇到的情形。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2.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鼓勵、支持、讚賞。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3.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關心孩子的電腦及網路使用情形。</w:t>
            </w:r>
          </w:p>
        </w:tc>
      </w:tr>
    </w:tbl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0"/>
        <w:jc w:val="center"/>
        <w:outlineLvl w:val="9"/>
        <w:rPr>
          <w:rtl w:val="0"/>
        </w:rPr>
      </w:pP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PingFang TC Regular">
    <w:charset w:val="00"/>
    <w:family w:val="roman"/>
    <w:pitch w:val="default"/>
  </w:font>
  <w:font w:name="DFKai-SB">
    <w:charset w:val="00"/>
    <w:family w:val="roman"/>
    <w:pitch w:val="default"/>
  </w:font>
  <w:font w:name="Calibri">
    <w:charset w:val="00"/>
    <w:family w:val="roman"/>
    <w:pitch w:val="default"/>
  </w:font>
  <w:font w:name="Times Roman">
    <w:charset w:val="00"/>
    <w:family w:val="roman"/>
    <w:pitch w:val="default"/>
  </w:font>
  <w:font w:name="jf open 粉圓 1.1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預設值">
    <w:name w:val="預設值"/>
    <w:next w:val="預設值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PingFang TC Regular" w:cs="PingFang TC Regular" w:hAnsi="PingFang TC Regular" w:eastAsia="PingFang TC Regular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PingFang TC Semibold"/>
        <a:ea typeface="PingFang TC Semibold"/>
        <a:cs typeface="PingFang TC Semibold"/>
      </a:majorFont>
      <a:minorFont>
        <a:latin typeface="PingFang TC Regular"/>
        <a:ea typeface="PingFang TC Regular"/>
        <a:cs typeface="PingFang TC Regular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PingFang TC Medium"/>
            <a:ea typeface="PingFang TC Medium"/>
            <a:cs typeface="PingFang TC Medium"/>
            <a:sym typeface="PingFang TC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T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